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hanging="0"/>
        <w:jc w:val="right"/>
        <w:rPr>
          <w:b/>
          <w:b/>
          <w:bCs/>
          <w:sz w:val="40"/>
          <w:szCs w:val="40"/>
        </w:rPr>
      </w:pPr>
      <w:r>
        <w:rPr>
          <w:rFonts w:ascii="Tahoma" w:hAnsi="Tahoma" w:eastAsia="Times New Roman" w:cs="Tahoma"/>
          <w:b/>
          <w:b/>
          <w:bCs/>
          <w:color w:val="000000"/>
          <w:sz w:val="40"/>
          <w:sz w:val="40"/>
          <w:szCs w:val="40"/>
          <w:lang w:eastAsia="ru-RU"/>
        </w:rPr>
        <w:t>﻿</w:t>
      </w:r>
      <w:r>
        <w:rPr>
          <w:rFonts w:eastAsia="Times New Roman" w:cs="Times New Roman" w:ascii="Times New Roman" w:hAnsi="Times New Roman"/>
          <w:b/>
          <w:bCs/>
          <w:color w:val="000000"/>
          <w:sz w:val="40"/>
          <w:szCs w:val="40"/>
          <w:lang w:eastAsia="ru-RU"/>
        </w:rPr>
        <w:t>ПРОЕКТ</w:t>
      </w:r>
    </w:p>
    <w:p>
      <w:pPr>
        <w:pStyle w:val="Normal"/>
        <w:ind w:firstLine="567"/>
        <w:jc w:val="center"/>
        <w:rPr>
          <w:rFonts w:eastAsia="Times New Roman" w:cs="Arial"/>
          <w:color w:val="000000"/>
          <w:szCs w:val="24"/>
          <w:lang w:eastAsia="ru-RU"/>
        </w:rPr>
      </w:pPr>
      <w:r>
        <w:rPr/>
        <w:drawing>
          <wp:inline distT="0" distB="0" distL="0" distR="0">
            <wp:extent cx="581660" cy="69786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346" t="-334" r="-346" b="-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97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Arial"/>
          <w:color w:val="000000"/>
          <w:sz w:val="22"/>
          <w:lang w:eastAsia="ru-RU"/>
        </w:rPr>
        <w:t> </w:t>
      </w:r>
    </w:p>
    <w:p>
      <w:pPr>
        <w:pStyle w:val="Normal"/>
        <w:ind w:firstLine="567"/>
        <w:jc w:val="center"/>
        <w:rPr>
          <w:rFonts w:eastAsia="Times New Roman" w:cs="Arial"/>
          <w:color w:val="000000"/>
          <w:szCs w:val="24"/>
          <w:lang w:eastAsia="ru-RU"/>
        </w:rPr>
      </w:pPr>
      <w:r>
        <w:rPr>
          <w:rFonts w:eastAsia="Times New Roman" w:cs="Arial"/>
          <w:color w:val="000000"/>
          <w:sz w:val="22"/>
          <w:lang w:eastAsia="ru-RU"/>
        </w:rPr>
        <w:t> </w:t>
      </w:r>
    </w:p>
    <w:p>
      <w:pPr>
        <w:pStyle w:val="Style20"/>
        <w:ind w:left="0" w:right="0" w:hanging="0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>
      <w:pPr>
        <w:pStyle w:val="Style20"/>
        <w:ind w:left="0" w:right="0" w:hanging="0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  <w:t>ПАВИНСКОГО МУНИЦИПАЛЬНОГО ОКРУГА</w:t>
      </w:r>
    </w:p>
    <w:p>
      <w:pPr>
        <w:pStyle w:val="Style20"/>
        <w:ind w:left="0" w:right="0" w:hanging="0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  <w:t>КОСТРОМСКОЙ ОБЛАСТИ</w:t>
      </w:r>
    </w:p>
    <w:p>
      <w:pPr>
        <w:pStyle w:val="Style20"/>
        <w:ind w:left="0" w:right="0" w:hanging="0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Style21"/>
        <w:rPr>
          <w:i w:val="false"/>
          <w:i w:val="false"/>
          <w:sz w:val="32"/>
          <w:szCs w:val="32"/>
        </w:rPr>
      </w:pPr>
      <w:r>
        <w:rPr>
          <w:i w:val="false"/>
          <w:sz w:val="32"/>
          <w:szCs w:val="32"/>
        </w:rPr>
        <w:t>ПОСТАНОВЛЕНИЕ</w:t>
      </w:r>
    </w:p>
    <w:p>
      <w:pPr>
        <w:pStyle w:val="Style21"/>
        <w:rPr>
          <w:i w:val="false"/>
          <w:i w:val="false"/>
          <w:sz w:val="32"/>
          <w:szCs w:val="32"/>
        </w:rPr>
      </w:pPr>
      <w:r>
        <w:rPr>
          <w:i w:val="false"/>
          <w:sz w:val="32"/>
          <w:szCs w:val="32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32"/>
          <w:szCs w:val="32"/>
        </w:rPr>
      </w:pPr>
      <w:r>
        <w:rPr>
          <w:rFonts w:cs="Times New Roman" w:ascii="Times New Roman" w:hAnsi="Times New Roman"/>
          <w:b/>
          <w:sz w:val="32"/>
          <w:szCs w:val="32"/>
        </w:rPr>
        <w:t xml:space="preserve">от                      2024г №  </w:t>
      </w:r>
    </w:p>
    <w:p>
      <w:pPr>
        <w:pStyle w:val="NoSpacing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ind w:firstLine="567"/>
        <w:jc w:val="center"/>
        <w:rPr>
          <w:rFonts w:eastAsia="Times New Roman" w:cs="Arial"/>
          <w:color w:val="000000"/>
          <w:szCs w:val="24"/>
          <w:lang w:eastAsia="ru-RU"/>
        </w:rPr>
      </w:pPr>
      <w:r>
        <w:rPr>
          <w:rFonts w:eastAsia="Times New Roman" w:cs="Arial" w:ascii="Times New Roman" w:hAnsi="Times New Roman"/>
          <w:b/>
          <w:bCs/>
          <w:color w:val="000000"/>
          <w:sz w:val="32"/>
          <w:szCs w:val="32"/>
          <w:lang w:eastAsia="ru-RU"/>
        </w:rPr>
        <w:t>ПОРЯДОК ПРЕДОСТАВЛЕНИЯ И РАСПРЕДЕЛЕНИЯ СУБСИДИИ НА ВОЗМЕЩЕНИЕ ЧАСТИ ЗАТРАТ ОРГАНИЗАЦИЯМ ЛЮБЫХ ФОРМ СОБСТВЕННОСТИ И ИНДИВИДУАЛЬНЫМ ПРЕДПРИНИМАТЕЛЯМ, ЗАНИМАЮЩИМСЯ ДОСТАВКОЙ И РЕАЛИЗАЦИЕЙ ПРОДОВОЛЬСТВЕННЫХ ТОВАРОВ В МАЛОНАСЕЛЕННЫЕ И ТРУДНОДОСТУПНЫЕ НАСЕЛЕННЫЕ ПУНКТЫ ПАВИНСКОГО МУНИЦИПАЛЬНОГО ОКРУГА КОСТРОМСКОЙ ОБЛАСТИ</w:t>
      </w:r>
      <w:r>
        <w:rPr>
          <w:rFonts w:eastAsia="Times New Roman" w:cs="Arial"/>
          <w:color w:val="000000"/>
          <w:sz w:val="22"/>
          <w:lang w:eastAsia="ru-RU"/>
        </w:rPr>
        <w:t> </w:t>
      </w:r>
      <w:r>
        <w:rPr>
          <w:rFonts w:eastAsia="Times New Roman" w:cs="Arial"/>
          <w:color w:val="000000"/>
          <w:sz w:val="22"/>
          <w:szCs w:val="24"/>
          <w:lang w:eastAsia="ru-RU"/>
        </w:rPr>
        <w:t xml:space="preserve"> </w:t>
      </w:r>
    </w:p>
    <w:p>
      <w:pPr>
        <w:pStyle w:val="Normal"/>
        <w:ind w:firstLine="567"/>
        <w:jc w:val="center"/>
        <w:rPr>
          <w:rFonts w:eastAsia="Times New Roman" w:cs="Arial"/>
          <w:color w:val="000000"/>
          <w:szCs w:val="24"/>
          <w:lang w:eastAsia="ru-RU"/>
        </w:rPr>
      </w:pPr>
      <w:r>
        <w:rPr>
          <w:rFonts w:eastAsia="Times New Roman" w:cs="Arial"/>
          <w:color w:val="000000"/>
          <w:sz w:val="22"/>
          <w:lang w:eastAsia="ru-RU"/>
        </w:rPr>
        <w:t> </w:t>
      </w:r>
    </w:p>
    <w:p>
      <w:pPr>
        <w:pStyle w:val="Normal"/>
        <w:ind w:firstLine="54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 xml:space="preserve">В соответствии со статьей 78 Бюджетного кодекса Российской Федерации, Федеральными законами от 06 октября 2003 года №131-ФЗ « Об общих принципах организации местного самоуправления Российской Федерации», от 28 декабря 2009 года №381-ФЗ «Об  основах государственного регулирования торговой деятельности в Российской Федерации, постановлением Правительства РФ от 25.10.2023г №1782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 же физическим лицам — производителям товаров, работ, услуг и проведение отборов получателей указанных субсидий, в том числе грантов в форме субсидий», постановлением Администрации Костромской области от 03 июля 2023года №264-а «Об утверждении государственной программы Костромской области «Экономическое развитие Костромской области» (в редакции постановления администрации Костромской области от 28.08.2023г №372-а), муниципальной программой «Поддержка малого и среднего предпринимательства в Павинском муниципальном округе Костромской области на 2024-2026 годы», утвержденной постановлением администрации Павинского  муниципального округа Костромской области от 01 февраля 2024 года №43, администрация Павинского муниципального округа Костромской области </w:t>
      </w:r>
      <w:r>
        <w:rPr>
          <w:rFonts w:eastAsia="Times New Roman" w:cs="Arial" w:ascii="Times New Roman" w:hAnsi="Times New Roman"/>
          <w:b/>
          <w:bCs/>
          <w:color w:val="000000"/>
          <w:sz w:val="24"/>
          <w:szCs w:val="24"/>
          <w:lang w:eastAsia="ru-RU"/>
        </w:rPr>
        <w:t>постановляет</w:t>
      </w: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:</w:t>
      </w:r>
    </w:p>
    <w:p>
      <w:pPr>
        <w:pStyle w:val="Normal"/>
        <w:numPr>
          <w:ilvl w:val="0"/>
          <w:numId w:val="0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   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1. </w:t>
      </w: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Утвердить прилагаемый Порядок предоставления и распределения субсидии на возмещение части затрат на приобретение горюче-смазочных материалов организациям любых форм собственности и индивидуальным предпринимателям, занимающимся доставкой и реализацией продовольственных товаров в малонаселенные и труднодоступные населенные пункты Павинского муниципального округа Костромской области.</w:t>
      </w:r>
    </w:p>
    <w:p>
      <w:pPr>
        <w:pStyle w:val="Normal"/>
        <w:numPr>
          <w:ilvl w:val="0"/>
          <w:numId w:val="0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      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2. Настоящее постановление вступает в силу после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 xml:space="preserve"> официального опубликования (обнародования) в информационном бюллетене «Вести от власти» и подлежит размещению в сети Интернет на официальном сайте администрации Павинского муниципального округа Костромской области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.</w:t>
      </w:r>
    </w:p>
    <w:p>
      <w:pPr>
        <w:pStyle w:val="Normal"/>
        <w:numPr>
          <w:ilvl w:val="0"/>
          <w:numId w:val="0"/>
        </w:numPr>
        <w:ind w:left="0" w:righ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</w:t>
      </w:r>
      <w:r>
        <w:rPr>
          <w:rFonts w:cs="Times New Roman" w:ascii="Times New Roman" w:hAnsi="Times New Roman"/>
          <w:sz w:val="24"/>
          <w:szCs w:val="24"/>
        </w:rPr>
        <w:t>3. Контроль за исполнением настоящего постановления возложить на заместителя главы администрации Павинского муниципального округа.</w:t>
      </w:r>
    </w:p>
    <w:p>
      <w:pPr>
        <w:pStyle w:val="Normal"/>
        <w:widowControl w:val="false"/>
        <w:numPr>
          <w:ilvl w:val="0"/>
          <w:numId w:val="0"/>
        </w:numPr>
        <w:ind w:left="720" w:hanging="0"/>
        <w:jc w:val="both"/>
        <w:rPr>
          <w:b/>
          <w:b/>
        </w:rPr>
      </w:pPr>
      <w:r>
        <w:rPr>
          <w:b/>
        </w:rPr>
      </w:r>
    </w:p>
    <w:p>
      <w:pPr>
        <w:pStyle w:val="Style22"/>
        <w:numPr>
          <w:ilvl w:val="0"/>
          <w:numId w:val="0"/>
        </w:numPr>
        <w:spacing w:lineRule="auto" w:line="276"/>
        <w:ind w:left="0" w:hanging="0"/>
        <w:rPr>
          <w:b/>
          <w:b/>
        </w:rPr>
      </w:pPr>
      <w:r>
        <w:rPr>
          <w:b/>
        </w:rPr>
      </w:r>
    </w:p>
    <w:p>
      <w:pPr>
        <w:pStyle w:val="Style22"/>
        <w:numPr>
          <w:ilvl w:val="0"/>
          <w:numId w:val="0"/>
        </w:numPr>
        <w:spacing w:lineRule="auto" w:line="276"/>
        <w:ind w:left="0" w:hanging="0"/>
        <w:rPr/>
      </w:pPr>
      <w:r>
        <w:rPr>
          <w:b/>
        </w:rPr>
        <w:t xml:space="preserve">Глава  </w:t>
      </w:r>
      <w:r>
        <w:rPr>
          <w:b/>
          <w:bCs/>
        </w:rPr>
        <w:t>Павинского муниципального округа</w:t>
      </w:r>
    </w:p>
    <w:p>
      <w:pPr>
        <w:pStyle w:val="Normal"/>
        <w:numPr>
          <w:ilvl w:val="0"/>
          <w:numId w:val="0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b/>
          <w:bCs/>
          <w:color w:val="000000"/>
          <w:sz w:val="24"/>
          <w:szCs w:val="24"/>
          <w:lang w:eastAsia="ru-RU"/>
        </w:rPr>
        <w:t xml:space="preserve">Костромской области                                                                                       Ю.А.Козлов  </w:t>
      </w:r>
    </w:p>
    <w:p>
      <w:pPr>
        <w:pStyle w:val="Normal"/>
        <w:ind w:firstLine="567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>
      <w:pPr>
        <w:pStyle w:val="Normal"/>
        <w:ind w:firstLine="567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 </w:t>
      </w:r>
    </w:p>
    <w:p>
      <w:pPr>
        <w:pStyle w:val="Normal"/>
        <w:ind w:firstLine="567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 </w:t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firstLine="567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</w:r>
    </w:p>
    <w:p>
      <w:pPr>
        <w:pStyle w:val="Normal"/>
        <w:ind w:left="5670"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УТВЕРЖДЕН</w:t>
      </w:r>
    </w:p>
    <w:p>
      <w:pPr>
        <w:pStyle w:val="Normal"/>
        <w:ind w:left="5670"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постановлением</w:t>
      </w:r>
    </w:p>
    <w:p>
      <w:pPr>
        <w:pStyle w:val="Normal"/>
        <w:ind w:left="5670"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администрации Павинского муниципального округа Костромской области</w:t>
      </w:r>
    </w:p>
    <w:p>
      <w:pPr>
        <w:pStyle w:val="Normal"/>
        <w:ind w:left="5670"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 xml:space="preserve">от               2024 № </w:t>
      </w:r>
    </w:p>
    <w:p>
      <w:pPr>
        <w:pStyle w:val="Normal"/>
        <w:ind w:left="5670" w:firstLine="567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 </w:t>
      </w:r>
    </w:p>
    <w:p>
      <w:pPr>
        <w:pStyle w:val="Normal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b/>
          <w:bCs/>
          <w:color w:val="000000"/>
          <w:sz w:val="24"/>
          <w:szCs w:val="24"/>
          <w:lang w:eastAsia="ru-RU"/>
        </w:rPr>
        <w:t>ПОРЯДОК ПРЕДОСТАВЛЕНИЯ И РАСПРЕДЕЛЕНИЯ СУБСИДИИ НА ВОЗМЕЩЕНИЕ ЧАСТИ ЗАТРАТ ОРГАНИЗАЦИЯМ ЛЮБЫХ ФОРМ СОБСТВЕННОСТИ И ИНДИВИДУАЛЬНЫМ ПРЕДПРИНИМАТЕЛЯМ, ЗАНИМАЮЩИМСЯ ДОСТАВКОЙ И РЕАЛИЗАЦИЕЙ ПРОДОВОЛЬСТВЕННЫХ ТОВАРОВ В МАЛОНАСЕЛЕННЫЕ И ТРУДНОДОСТУПНЫЕ НАСЕЛЕННЫЕ ПУНКТЫ ПАВИНСКОГО МУНИЦИПАЛЬНОГО ОКРУГА КОСТРОМСКОЙ ОБЛАСТИ</w:t>
      </w:r>
    </w:p>
    <w:p>
      <w:pPr>
        <w:pStyle w:val="Normal"/>
        <w:spacing w:lineRule="atLeast" w:line="253"/>
        <w:ind w:firstLine="567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 </w:t>
      </w:r>
    </w:p>
    <w:p>
      <w:pPr>
        <w:pStyle w:val="Normal"/>
        <w:numPr>
          <w:ilvl w:val="0"/>
          <w:numId w:val="1"/>
        </w:numPr>
        <w:spacing w:lineRule="atLeast" w:line="253"/>
        <w:ind w:left="1276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b/>
          <w:bCs/>
          <w:color w:val="000000"/>
          <w:sz w:val="24"/>
          <w:szCs w:val="24"/>
          <w:lang w:eastAsia="ru-RU"/>
        </w:rPr>
        <w:t>Общие положения</w:t>
      </w:r>
    </w:p>
    <w:p>
      <w:pPr>
        <w:pStyle w:val="Normal"/>
        <w:ind w:firstLine="567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1.1.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  </w:t>
      </w: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Порядок предоставления и распределения субсидии на возмещение части затрат организациям любых форм собственности и индивидуальным предпринимателям, занимающимся доставкой и реализацией продовольственных товаров в малонаселенные и труднодоступные населенные пункты Павинского муниципального округа Костромской области (далее также – район) определяет категории и критерии отбора организаций любых форм собственности и индивидуальных предпринимателей, занимающихся доставкой и реализацией продовольственных товаров в малонаселенные и труднодоступные населенные пункты округа, имеющих право на получение субсидии на возмещение части затрат на горюче-смазочные материалы, произведенных при доставке и реализации продовольственных товаров в малонаселенные и труднодоступные населенные пункты округа (далее – субсидия), цели, условия и порядок предоставления субсидии, порядок возврата субсидии в бюджет округа (далее – районный бюджет) в случае нарушения условий, установленных при ее предоставлении.</w:t>
      </w:r>
    </w:p>
    <w:p>
      <w:pPr>
        <w:pStyle w:val="Normal"/>
        <w:ind w:firstLine="567"/>
        <w:rPr>
          <w:rFonts w:ascii="Times New Roman" w:hAnsi="Times New Roman"/>
          <w:sz w:val="24"/>
          <w:szCs w:val="24"/>
        </w:rPr>
      </w:pPr>
      <w:bookmarkStart w:id="0" w:name="P43"/>
      <w:bookmarkEnd w:id="0"/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В Порядке используются следующие понятия:</w:t>
      </w:r>
    </w:p>
    <w:p>
      <w:pPr>
        <w:pStyle w:val="Normal"/>
        <w:ind w:firstLine="567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труднодоступный населенный пункт – сельский населенный пункт, который в силу природных, техногенных и иных обстоятельств и (или) отсутствия элементов инфраструктуры является труднодоступным для транспортных средств, не имеющий действующих стационарных торговых объектов;</w:t>
      </w:r>
    </w:p>
    <w:p>
      <w:pPr>
        <w:pStyle w:val="Normal"/>
        <w:ind w:firstLine="567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малонаселенный населенный пункт – сельский населенный пункт, число постоянно проживающего населения, в котором составляет до 100 человек, не имеющий действующих стационарных торговых объектов.</w:t>
      </w:r>
    </w:p>
    <w:p>
      <w:pPr>
        <w:pStyle w:val="Normal"/>
        <w:ind w:firstLine="567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1.2. Целью предоставления субсидии является создание условий для обеспечения  услугами торговли  жителей малонаселенных и труднодоступных населенных пунктов, в которых отсутствуют стационарные торговые объекты, продовольственными товарами путем компенсации организациям любых форм собственности и индивидуальным предпринимателям, осуществляющим мобильную торговлю, (далее – организации и ИП) части затрат на горюче-смазочные материалы, произведенных при доставке и реализации продовольственных товаров в малонаселенные и труднодоступные населенные пункты в рамках мероприятия муниципальной программы «Поддержка малого и среднего предпринимательства в Павинском муниципальном округе Костромской области на 2024-2026 годы»,  утвержденной постановлением администрации Павинского  муниципального округа Костромской области от 01 февраля 2024 года №43.</w:t>
      </w:r>
    </w:p>
    <w:p>
      <w:pPr>
        <w:pStyle w:val="Normal"/>
        <w:ind w:firstLine="54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1.3. Направлением затрат, на возмещение которых предоставляется субсидия, является компенсация части фактических затрат организаций и ИП, произведенных при доставке и реализации продовольственных товаров в малонаселенные и труднодоступные населенные пункты округа.</w:t>
      </w:r>
    </w:p>
    <w:p>
      <w:pPr>
        <w:pStyle w:val="Normal"/>
        <w:ind w:firstLine="54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1.4. Субсидия предоставляется на возмещение части затрат на все виды горюче-смазочных материалов.</w:t>
      </w:r>
    </w:p>
    <w:p>
      <w:pPr>
        <w:pStyle w:val="Normal"/>
        <w:ind w:firstLine="567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1.5. Функции главного распорядителя бюджетных средств,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соответствующий финансовый год и плановый период на предоставление субсидии, осуществляет Администрация округа.</w:t>
      </w:r>
    </w:p>
    <w:p>
      <w:pPr>
        <w:pStyle w:val="Normal"/>
        <w:ind w:firstLine="567"/>
        <w:rPr>
          <w:rFonts w:ascii="Times New Roman" w:hAnsi="Times New Roman"/>
          <w:sz w:val="24"/>
          <w:szCs w:val="24"/>
        </w:rPr>
      </w:pPr>
      <w:bookmarkStart w:id="1" w:name="P44"/>
      <w:bookmarkEnd w:id="1"/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1.6. Получателями субсидии являются организации и ИП, занимающиеся доставкой и реализацией продовольственных товаров в малонаселенные и труднодоступные населенные пункты округа.</w:t>
      </w:r>
    </w:p>
    <w:p>
      <w:pPr>
        <w:pStyle w:val="Normal"/>
        <w:ind w:firstLine="539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1.7. Субсидия предоставляется Администрацией округа в пределах бюджетных ассигнований, предусмотренных в местном бюджете на соответствующий финансовый год и плановый период, и лимитов бюджетных обязательств, утвержденных в установленном порядке на предоставление субсидий.</w:t>
      </w:r>
    </w:p>
    <w:p>
      <w:pPr>
        <w:pStyle w:val="Normal"/>
        <w:ind w:firstLine="539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1.8. При формировании проекта решения о местном бюджете (проекта решения о внесении изменений в решение о местном бюджете) сведения о субсидии размещаются на едином портале бюджетной системы Российской Федерации в информационно-телекоммуникационной сети «Интернет».</w:t>
      </w:r>
    </w:p>
    <w:p>
      <w:pPr>
        <w:pStyle w:val="Normal"/>
        <w:ind w:firstLine="567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 </w:t>
      </w:r>
    </w:p>
    <w:p>
      <w:pPr>
        <w:pStyle w:val="Normal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b/>
          <w:bCs/>
          <w:color w:val="000000"/>
          <w:sz w:val="24"/>
          <w:szCs w:val="24"/>
          <w:lang w:eastAsia="ru-RU"/>
        </w:rPr>
        <w:t>2.Условия и порядок предоставления субсидии</w:t>
      </w:r>
    </w:p>
    <w:p>
      <w:pPr>
        <w:pStyle w:val="Normal"/>
        <w:ind w:firstLine="54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 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2.1. Информация о приеме заявлений на предоставление субсидии размещается в информационно-телекоммуникационной сети «Интернет» на официальном сайте округа или в одном из источников официального опубликования муниципальных правовых актов округа.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Субсидия предоставляется Администрацией округа в пределах бюджетных ассигнований, предусмотренных на соответствующий финансовый год и плановый период.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Администрация округа предоставляет субсидии организациям и ИП по результатам рассмотрения заявлений о предоставлении субсидии.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Прием, регистрацию заявлений осуществляет комитет муниципального имущества и экономического развития Администрации округа (далее – комитет).</w:t>
      </w:r>
    </w:p>
    <w:p>
      <w:pPr>
        <w:pStyle w:val="Normal"/>
        <w:rPr>
          <w:rFonts w:ascii="Times New Roman" w:hAnsi="Times New Roman"/>
          <w:color w:val="000000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Прием заявлений осуществляется в течение 10 календарных дней по истечении даты, размещения информации о приеме заявлений.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Для получения субсидии заявитель представляет заявление по форме, установленной приложением 1 к настоящему Порядку.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К заявлению прилагаются:</w:t>
      </w:r>
      <w:bookmarkStart w:id="2" w:name="P62"/>
      <w:bookmarkEnd w:id="2"/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1)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  </w:t>
      </w: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выписка из Единого государственного реестра юридических лиц (выписка из Единого государственного реестра индивидуальных предпринимателей), выданная налоговым органом не ранее, чем за 15 дней до даты подачи заявления;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2)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   </w:t>
      </w: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справка, подтверждающая отсутствие у заявителя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выданная налоговым органом не ранее, чем за 15 дней до даты подачи заявления;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3) график и маршруты обслуживания мобильными объектами торговли малонаселенных и труднодоступных населенных пунктов;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4) справку-расчет по форме согласно приложению 2 к настоящему Порядку, подписанную заявителем;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5)  копию паспорта автотранспортного (транспортного) средства, заверенную заявителем;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6) документы, подтверждающие фактически произведенные затраты заявителем на приобретение ГСМ,в том числе цену на ГСМ (счет, счет-фактура, платежное поручение с отметкой банка, товарный чек, кассовый чек);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Ответственность за достоверность сведений, указанных в представляемых документах на получение субсидии, возлагается на заявителя.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2.2. Требования, которым должен соответствовать заявитель по состоянию на дату не ранее чем за 30 календарных дней до даты подачи заявления: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заявитель зарегистрирован и осуществляет хозяйственную деятельность на территории Костромской области;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у заявителя имеется транспортное средство, используемое для доставки товаров, находящееся в личной собственности и (или) аренде;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заявитель осуществляет доставку социально значимых продовольственных товаров в один или несколько малонаселенных и труднодоступных населенных пунктов в соответствии с утвержденными графиками и маршрутами;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заявитель осуществляет хозяйственную деятельность в соответствии с Общероссийским классификатором видов экономической деятельности, продукции и услуг ОК 02-2014 (КДЕС РЕД.2) по виду деятельности: 47 «Торговля розничная, кроме торговли автотранспортными средствами и мотоциклами»;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при реализации товаров первой необходимости, имеющих маркировку в соответствии с ГОСТом, соблюдает допустимые значения номинального количества товаров в соответствии с «ГОСТ 8.579-2019 Межгосударственный стандарт. Государственная система обеспечения единства измерений. Требования к количеству фасованных товаров при их проихзводстве, фасовании, продаже и импорте».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у заявителя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заявители - юридические лица не должны находиться в процессе реорганизации, ликвидации, в отношении них не введена процедура банкротства, деятельность заявителя не приостановлена в порядке, предусмотренном законодательством Российской Федерации, а заявители - индивидуальные предприниматели не должны прекратить деятельность в качестве индивидуального предпринимателя;</w:t>
      </w:r>
    </w:p>
    <w:p>
      <w:pPr>
        <w:pStyle w:val="Normal"/>
        <w:ind w:firstLine="54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юридическим лицом, об индивидуальном предпринимателе - производителе товаров, работ, услуг, являющемся заявителем;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заявители – юридические лица не должны являться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– офшорные компании), а также российскими юридическими лицами, в уставном (складочном) капитале которых доля прямого или косвенного (через третьих лиц) участия офшорных компаний в совокупности превышает 25 процентов (если иное не предусмотрено законодательством Российской Федерации). При расчете доли участия офшорных компаний в капитале российских юридических лиц не учитывается прямое и (или) косвенное участие офшорных 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 офшорных компаний в капитале других российских юридических лиц, реализованное через участие в капитале указанных публичных акционерных обществ;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заявитель не находится в перечне организаций и физических лиц, в отношении которых имеются сведения об их причастности к экстремистской деятельности 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уничтожения;</w:t>
      </w:r>
    </w:p>
    <w:p>
      <w:pPr>
        <w:pStyle w:val="Normal"/>
        <w:rPr/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организация или ИП не должны получать средства из местного бюджета округа в соответствии с иными нормативными правовыми актами округа на возмещение затрат на цели, указанные в </w:t>
      </w:r>
      <w:r>
        <w:fldChar w:fldCharType="begin"/>
      </w:r>
      <w:r>
        <w:rPr>
          <w:sz w:val="24"/>
          <w:u w:val="single"/>
          <w:szCs w:val="24"/>
          <w:rFonts w:eastAsia="Times New Roman" w:cs="Arial" w:ascii="Times New Roman" w:hAnsi="Times New Roman"/>
          <w:color w:val="000000"/>
          <w:lang w:eastAsia="ru-RU"/>
        </w:rPr>
        <w:instrText xml:space="preserve"> HYPERLINK "https://pravo-search.minjust.ru/bigs/portal.html" \l "P56"</w:instrText>
      </w:r>
      <w:r>
        <w:rPr>
          <w:sz w:val="24"/>
          <w:u w:val="single"/>
          <w:szCs w:val="24"/>
          <w:rFonts w:eastAsia="Times New Roman" w:cs="Arial" w:ascii="Times New Roman" w:hAnsi="Times New Roman"/>
          <w:color w:val="000000"/>
          <w:lang w:eastAsia="ru-RU"/>
        </w:rPr>
        <w:fldChar w:fldCharType="separate"/>
      </w:r>
      <w:r>
        <w:rPr>
          <w:rFonts w:eastAsia="Times New Roman" w:cs="Arial" w:ascii="Times New Roman" w:hAnsi="Times New Roman"/>
          <w:color w:val="000000"/>
          <w:sz w:val="24"/>
          <w:szCs w:val="24"/>
          <w:u w:val="single"/>
          <w:lang w:eastAsia="ru-RU"/>
        </w:rPr>
        <w:t>пункте 1.2</w:t>
      </w:r>
      <w:r>
        <w:rPr>
          <w:sz w:val="24"/>
          <w:u w:val="single"/>
          <w:szCs w:val="24"/>
          <w:rFonts w:eastAsia="Times New Roman" w:cs="Arial" w:ascii="Times New Roman" w:hAnsi="Times New Roman"/>
          <w:color w:val="000000"/>
          <w:lang w:eastAsia="ru-RU"/>
        </w:rPr>
        <w:fldChar w:fldCharType="end"/>
      </w: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 настоящего Порядка.</w:t>
      </w:r>
    </w:p>
    <w:p>
      <w:pPr>
        <w:pStyle w:val="Normal"/>
        <w:rPr/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Получателями субсидий могут быть организации любых форм собственносмти и индивидуальные предприниматели, осуществляющие мобильную торговлю с помощью автолавки, автомобиля, автомагазина, автоприцепа, автоцистерны и т. п., оснащенные оборудованием, предназначенным и используемым для выкладки, демонстрации товаров, обслуживания покупателей и проведения денежных расчетов с покупателями при продаже товаров.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Предоставление документов в комиссию по рассмотрению заявлений о предоставлении субсидии (далее – Комиссия), состав которой утверждается постановлением Администрации округа, и их рассмотрение осуществляется по следующему порядку: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1) для рассмотрения вопроса о предоставлении субсидии заявители представляют в Комитет документы, указанные в пункте 2.1 настоящего Порядка;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2) секретарь Комиссии, являющийся работником Комитета, в день получения документов от заявителя регистрирует заявление о предоставлении субсидии в специальном журнале, который пронумерован и прошнурован;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3) Комиссия в течении двух рабочих дней после даты окончания приёма заявлений рассматривает документы заявителей на предмет их соответствия перечню документов, установленных пунктом 2.1 настоящего Порядка, а также устанавливает соответствие заявителей требованиям, изложенным в пункте 2.2 настоящего Порядка.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По итогам работы Комиссии оформляется протокол, который подписывается всеми присутствующими на заседании членами Комиссии в день заседания Комиссии.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Решение Комиссии носит рекомендательный характер.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По результатам рассмотрения Комиссии представленных заявителем документов в течение 3 рабочих дней после истечения срока, предусмотренного абзацем пятым пункта 2.1 настоящего Порядка, Администрация округа принимает решение о предоставлении субсидии или об отказе в предоставлении субсидии с указанием причин отказа.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Основания отказа в предоставлении субсидии: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несоответствие представленных заявителем документов требованиям, установленным пунктом 2.1 настоящего Порядка, или непредставление (предоставление не в полном объеме) указанных документов;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недостоверность представленной заявителем информации;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несоответствие заявителя требованиям, установленным абзацами 1-6 настоящего пункта Порядка;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представление документов с нарушением срока, установленного абзацем вторым пункта 2.1 настоящего Порядка.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Решение о предоставлении или об отказе в предоставлении субсидии принимается в форме постановления Администрации округа.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Уведомление о принятом решении направляется по требованию заявителя почтовой связью заказным письмом с уведомлением о вручении или вручается лично заявителю (его представителю) в течение 2 рабочих дней со дня его принятия.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В случае если не поступило ни одной заявки с документами на участие в отборе, а также, если комиссия примет решение об отказе в допуске к участию в отборе всех претендентов на участие в отборе, отбор признается несостоявшимся.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В случае если отбор признан несостоявшимся и Соглашение не заключено, организатор вправе объявить повторный отбор не ранее чем через 10 календарных дней.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bookmarkStart w:id="3" w:name="P70"/>
      <w:bookmarkEnd w:id="3"/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2.3. На основании принятого решения о предоставлении субсидии с организациями или ИП заключается соглашение, предусматривающее выплаты субсидии на возмещение части затрат на горюче-смазочные материалы, произведенных при доставке и реализации продовольственных товаров в малонаселенные и труднодоступные населенные пункты округа (далее – Соглашение о предоставлении субсидии).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2.4. Заявитель, в отношении которого принято решение о предоставлении субсидии, в течение 2 рабочих дней после получения уведомления о предоставлении субсидии обращается в администрацию для заключения Соглашения о предоставлении субсидии.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Соглашение о предоставлении субсидии составляется Финансовым отделом Администрации округа в соответствии с типовой формой, утвержденной приказом Финансового отдела Администрации округа (далее – типовая форма Соглашения) в срок, не превышающий 2 рабочих дней со дня обращения заявителя за его заключением, и подписывается сторонами Соглашения о предоставлении субсидии.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Соглашением о предоставлении субсидии устанавливается значение результата предоставления субсидии, выраженного в количестве малонаселенных и труднодоступных населенных пунктов , обеспечиваемых услугами мобильной торговли в соответствии с маршрутами и графиками, указанными в таком Соглашении (далее - значение результата предоставления субсидии).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Соглашение о предоставлении субсидии заключается при условии: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принятия заявителем обязательств по достижению значения результата предоставления субсидии;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принятия заявителем обязательств по предоставлению отчетности, предусмотренной Соглашением о предоставлении субсидии в соответствии с пунктом 3.1 настоящего Порядка,</w:t>
      </w:r>
      <w:r>
        <w:rPr>
          <w:rFonts w:eastAsia="Times New Roman" w:cs="Arial" w:ascii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и дополнительной отчетности в случаях, когда сроки и форма предоставления такой отчетности предусмотрены Соглашением о предоставлении субсидии;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обращения заявителя в сроки, указанные в абзаце первом настоящего пункта;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согласия заявителя на осуществление Администрацией округа и органами муниципального финансового контроля проверок соблюдения им условий, целей и порядка предоставления субсидии, предусмотренного Соглашением о предоставлении субсидии.</w:t>
      </w:r>
    </w:p>
    <w:p>
      <w:pPr>
        <w:pStyle w:val="Normal"/>
        <w:ind w:firstLine="54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Соглашением о предоставлении субсидии должно быть предусмотрено условие о согласовании новых условий такого соглашения или о расторжении такого соглашения при недостижении согласия по новым условиям в случае:</w:t>
      </w:r>
    </w:p>
    <w:p>
      <w:pPr>
        <w:pStyle w:val="Normal"/>
        <w:ind w:firstLine="54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уменьшения администрации ранее доведенных лимитов бюджетных обязательств, приводящего к невозможности предоставления субсидии в размере, определенном в Соглашении о предоставлении субсидии,</w:t>
      </w:r>
    </w:p>
    <w:p>
      <w:pPr>
        <w:pStyle w:val="Normal"/>
        <w:ind w:firstLine="54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снижения коэффициента компенсации произведенных расходов при недостаточности утвержденных лимитов (остатков лимитов) бюджетных обязательств на предоставление субсидии в полном объеме заявленной потребности.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Один экземпляр Соглашения о предоставлении субсидии, заключенного между получателем субсидии и Администрацией округа, направляется получателю субсидии почтовой связью заказным письмом с уведомлением о вручении или вручается лично получателю субсидии (его представителю) в течение 2 рабочих дней со дня его подписания.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bookmarkStart w:id="4" w:name="P71"/>
      <w:bookmarkStart w:id="5" w:name="P79"/>
      <w:bookmarkEnd w:id="4"/>
      <w:bookmarkEnd w:id="5"/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2.5. Для получения субсидии получатель субсидии представляет в отдел в сроки, указанные в Соглашении о предоставлении субсидии, заявление на получение субсидии по форме, установленной Соглашением о предоставлении субсидии, с приложением следующих документов, подтверждающих затраты, произведенные при доставке и реализации продовольственных товаров в малонаселенные и труднодоступные населенные пункты:</w:t>
      </w:r>
    </w:p>
    <w:p>
      <w:pPr>
        <w:pStyle w:val="Normal"/>
        <w:ind w:firstLine="539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1) копий первичных документов, подтверждающих фактические затраты организаций и ИП на ГСМ:</w:t>
      </w:r>
    </w:p>
    <w:p>
      <w:pPr>
        <w:pStyle w:val="Normal"/>
        <w:ind w:firstLine="851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- путевых листов,</w:t>
      </w:r>
    </w:p>
    <w:p>
      <w:pPr>
        <w:pStyle w:val="Normal"/>
        <w:ind w:firstLine="851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- кассовых чеков на оплату ГСМ (счетов-фактур, транзакционных отчетов, иных документов подтверждающих оплату ГСМ),</w:t>
      </w:r>
    </w:p>
    <w:p>
      <w:pPr>
        <w:pStyle w:val="Normal"/>
        <w:ind w:firstLine="539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 xml:space="preserve">     </w:t>
      </w: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- приказов об утверждении норм расхода ГСМ, рассчитанных в соответствии с распоряжением Министерства транспорта Российской Федерации от 14 марта 2008 года № АМ-23-р «О введении в действие методических рекомендаций «Нормы расхода топлив и смазочных материалов на автомобильном транспорте» (обоснования применения повышающих расход топлива коэффициентов прикладываются в пакет документов в виде пояснительной записки).</w:t>
      </w:r>
    </w:p>
    <w:p>
      <w:pPr>
        <w:pStyle w:val="Normal"/>
        <w:ind w:firstLine="539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Копии документов должны быть представлены получателем субсидии с предъявлением подлинников, которые возвращаются получателю субсидии по окончании сверки с ними представленных копий.</w:t>
      </w:r>
    </w:p>
    <w:p>
      <w:pPr>
        <w:pStyle w:val="Normal"/>
        <w:ind w:firstLine="539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2) отчета о достижении значения результата предоставления субсидии по форме, установленной типовой формой Соглашения.</w:t>
      </w:r>
    </w:p>
    <w:p>
      <w:pPr>
        <w:pStyle w:val="Normal"/>
        <w:ind w:firstLine="539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3) справок органов местного самоуправления сельских поселений, удостоверяющих факт доставки и реализации продовольственных товаров в соответствии с маршрутами и графиками, указанными в Соглашении о предоставлении субсидии.</w:t>
      </w:r>
    </w:p>
    <w:p>
      <w:pPr>
        <w:pStyle w:val="Normal"/>
        <w:ind w:firstLine="539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Не подлежат приему документы, имеющие подчистки либо приписки, зачеркнутые слова по тексту, документы, исполненные карандашом, а также документы с повреждениями (бумаги), которые не позволяют читать текст и определить его полное или частичное смысловое содержание (отсутствие части слов, цифр или предложений).</w:t>
      </w:r>
    </w:p>
    <w:p>
      <w:pPr>
        <w:pStyle w:val="Normal"/>
        <w:ind w:firstLine="539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Документы регистрируются в течение 3 рабочих дней со дня их поступления.</w:t>
      </w:r>
    </w:p>
    <w:p>
      <w:pPr>
        <w:pStyle w:val="Normal"/>
        <w:ind w:firstLine="539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2.6. Размер компенсации организациям и ИП части затрат на горюче-смазочные материалы, произведенных при доставке и реализации продовольственных товаров в малонаселенные и (или) труднодоступные населенные пункты, составляет не более 95 % фактически произведенных организациями и ИП затрат.</w:t>
      </w:r>
    </w:p>
    <w:p>
      <w:pPr>
        <w:pStyle w:val="Normal"/>
        <w:ind w:firstLine="54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Расчет объема субсидии определяется путем сложения сумм за каждый день, в который осуществлялась доставка и реализация товаров в труднодоступные и малонаселенные пункты:</w:t>
      </w:r>
    </w:p>
    <w:p>
      <w:pPr>
        <w:pStyle w:val="Normal"/>
        <w:spacing w:before="220" w:after="0"/>
        <w:ind w:firstLine="54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V = ∑С</w:t>
      </w:r>
    </w:p>
    <w:p>
      <w:pPr>
        <w:pStyle w:val="Normal"/>
        <w:spacing w:before="220" w:after="0"/>
        <w:ind w:firstLine="54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Сумма ежедневного расхода ГСМ рассчитывается по формуле:</w:t>
      </w:r>
    </w:p>
    <w:p>
      <w:pPr>
        <w:pStyle w:val="Normal"/>
        <w:spacing w:before="220" w:after="0"/>
        <w:ind w:firstLine="54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С = S x P x N х К,</w:t>
      </w:r>
    </w:p>
    <w:p>
      <w:pPr>
        <w:pStyle w:val="Normal"/>
        <w:spacing w:before="220" w:after="0"/>
        <w:ind w:firstLine="54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где:</w:t>
      </w:r>
    </w:p>
    <w:p>
      <w:pPr>
        <w:pStyle w:val="Normal"/>
        <w:spacing w:before="220" w:after="0"/>
        <w:ind w:firstLine="54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С – сумма ежедневного расхода ГСМ, руб.;</w:t>
      </w:r>
    </w:p>
    <w:p>
      <w:pPr>
        <w:pStyle w:val="Normal"/>
        <w:spacing w:before="220" w:after="0"/>
        <w:ind w:firstLine="54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S - расстояние согласно путевому листу, км;</w:t>
      </w:r>
    </w:p>
    <w:p>
      <w:pPr>
        <w:pStyle w:val="Normal"/>
        <w:spacing w:before="220" w:after="0"/>
        <w:ind w:firstLine="54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P - цена ГСМ, руб. за единицу объема;</w:t>
      </w:r>
    </w:p>
    <w:p>
      <w:pPr>
        <w:pStyle w:val="Normal"/>
        <w:spacing w:before="220" w:after="0"/>
        <w:ind w:firstLine="54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N - норма расхода ГСМ на 1 километр;</w:t>
      </w:r>
    </w:p>
    <w:p>
      <w:pPr>
        <w:pStyle w:val="Normal"/>
        <w:ind w:firstLine="54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К – коэффициент компенсации произведенных расходов, установленный абзацем 1 настоящего пункта на уровне не более 95 %.</w:t>
      </w:r>
    </w:p>
    <w:p>
      <w:pPr>
        <w:pStyle w:val="Normal"/>
        <w:ind w:firstLine="54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В случае недостаточности утвержденных лимитов (остатков лимитов) бюджетных обязательств на предоставление субсидии в полном объеме заявленной потребности, пропорционально снижается коэффициент компенсации произведенных расходов (К).</w:t>
      </w:r>
    </w:p>
    <w:p>
      <w:pPr>
        <w:pStyle w:val="Normal"/>
        <w:ind w:firstLine="539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2.7. Выплата субсидии производится по полугодиям.  Возмещение расходов за 1 полугодие производится в июле текущего года. Возмещение расходов за II полугодие производится в декабре текущего года.</w:t>
      </w:r>
    </w:p>
    <w:p>
      <w:pPr>
        <w:pStyle w:val="Normal"/>
        <w:ind w:firstLine="567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2.8. Администрация округа в течение 2 рабочих дней со дня регистрации документов, указанных пункте 2.5 настоящего Порядка, осуществляет проверку представленных документов на соответствие требованиям, установленным пунктом 2.5 настоящего Порядка и Соглашением о предоставлении субсидии.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По результатам проверки в течение 2 рабочих дней после истечения срока, предусмотренного абзацем первым настоящего пункта, администрация принимает решение о выплате субсидии или об отказе в выплате субсидии с указанием причин отказа.</w:t>
      </w:r>
    </w:p>
    <w:p>
      <w:pPr>
        <w:pStyle w:val="Normal"/>
        <w:ind w:firstLine="539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Основаниями отказа в выплате субсидии являются:</w:t>
      </w:r>
    </w:p>
    <w:p>
      <w:pPr>
        <w:pStyle w:val="Normal"/>
        <w:ind w:firstLine="539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несоответствие представленных получателем субсидии документов требованиям, установленным пунктом 2.5 настоящего Порядка, или непредставление (предоставление не в полном объеме) указанных документов;</w:t>
      </w:r>
    </w:p>
    <w:p>
      <w:pPr>
        <w:pStyle w:val="Normal"/>
        <w:ind w:firstLine="539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недостоверность представленной получателем субсидии информации.</w:t>
      </w:r>
    </w:p>
    <w:p>
      <w:pPr>
        <w:pStyle w:val="Normal"/>
        <w:ind w:firstLine="539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В случае, если принимается решение отказать получателю в выплате субсидии, заявление с прилагаемыми документами возврату не подлежат.</w:t>
      </w:r>
    </w:p>
    <w:p>
      <w:pPr>
        <w:pStyle w:val="Normal"/>
        <w:ind w:firstLine="539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Решение о выплате или об отказе в выплате субсидии принимается в форме постановления Администрации округа.</w:t>
      </w:r>
    </w:p>
    <w:p>
      <w:pPr>
        <w:pStyle w:val="Normal"/>
        <w:ind w:firstLine="539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Администрация округа в течение 2 рабочих дней со дня принятия соответствующего решения уведомляет получателя субсидии:</w:t>
      </w:r>
    </w:p>
    <w:p>
      <w:pPr>
        <w:pStyle w:val="Normal"/>
        <w:ind w:firstLine="539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о принятии решения о выплате субсидии (с приложением двух экземпляров подписанного со стороны Администрации округа дополнительного соглашения к Соглашению о предоставлении субсидии с указанием суммы выплаты);</w:t>
      </w:r>
    </w:p>
    <w:p>
      <w:pPr>
        <w:pStyle w:val="Normal"/>
        <w:ind w:firstLine="539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об отказе в выплате субсидии с указанием причин отказа.</w:t>
      </w:r>
    </w:p>
    <w:p>
      <w:pPr>
        <w:pStyle w:val="Normal"/>
        <w:ind w:firstLine="567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Уведомление направляется посредством почтовой связи заказным письмом с уведомлением о вручении или вручается лично получателю субсидии (его представителю).</w:t>
      </w:r>
    </w:p>
    <w:p>
      <w:pPr>
        <w:pStyle w:val="Normal"/>
        <w:ind w:firstLine="539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2.9. Получатель субсидии, в отношении которого принято решение о выплате субсидии, в течение 2 рабочих дней после получения уведомления, предусмотренного пунктом 2.8 настоящего Порядка, представляет в администрацию один подписанный экземпляр дополнительного соглашения к Соглашению о предоставлении субсидии.</w:t>
      </w:r>
    </w:p>
    <w:p>
      <w:pPr>
        <w:pStyle w:val="Normal"/>
        <w:ind w:firstLine="539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2.10. Субсидия перечисляется на основании решения администрации о выплате субсидии и в соответствии с Соглашением о предоставлении субсидии с лицевого счета администрации, открытого в Финансовом управлении Администрации округа, на расчетные или корреспондентские счета, открытые получателям субсидии в учреждениях Центрального банка Российской Федерации или кредитных организациях, в течение 10 рабочих дней со дня принятия решения о выплате субсидии.</w:t>
      </w:r>
    </w:p>
    <w:p>
      <w:pPr>
        <w:pStyle w:val="Normal"/>
        <w:spacing w:before="220" w:after="0"/>
        <w:ind w:firstLine="540"/>
        <w:jc w:val="center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b/>
          <w:bCs/>
          <w:color w:val="000000"/>
          <w:sz w:val="24"/>
          <w:szCs w:val="24"/>
          <w:lang w:eastAsia="ru-RU"/>
        </w:rPr>
        <w:t>3. Требования к отчетности</w:t>
      </w:r>
    </w:p>
    <w:p>
      <w:pPr>
        <w:pStyle w:val="Normal"/>
        <w:spacing w:before="220" w:after="0"/>
        <w:ind w:firstLine="54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3.1. Для подтверждения достижения значения результата предоставления субсидии, предусмотренного Соглашением о предоставлении субсидии, получатель субсидии представляет в Администрацию округа отчет в соответствии с подпунктом 2 пункта 2.5 настоящего Порядка.</w:t>
      </w:r>
    </w:p>
    <w:p>
      <w:pPr>
        <w:pStyle w:val="Normal"/>
        <w:ind w:firstLine="54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3.2. Администрация округа вправе устанавливать в Соглашении о предоставлении субсидии сроки и формы представления получателем субсидии дополнительной отчетности.</w:t>
      </w:r>
    </w:p>
    <w:p>
      <w:pPr>
        <w:pStyle w:val="Normal"/>
        <w:ind w:firstLine="539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>
      <w:pPr>
        <w:pStyle w:val="Normal"/>
        <w:ind w:firstLine="539"/>
        <w:jc w:val="center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b/>
          <w:bCs/>
          <w:color w:val="000000"/>
          <w:sz w:val="24"/>
          <w:szCs w:val="24"/>
          <w:lang w:eastAsia="ru-RU"/>
        </w:rPr>
        <w:t>4. Требования об осуществлении контроля за соблюдением</w:t>
      </w:r>
    </w:p>
    <w:p>
      <w:pPr>
        <w:pStyle w:val="Normal"/>
        <w:ind w:firstLine="539"/>
        <w:jc w:val="center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b/>
          <w:bCs/>
          <w:color w:val="000000"/>
          <w:sz w:val="24"/>
          <w:szCs w:val="24"/>
          <w:lang w:eastAsia="ru-RU"/>
        </w:rPr>
        <w:t>условий, целей и порядка предоставления субсидии</w:t>
      </w:r>
    </w:p>
    <w:p>
      <w:pPr>
        <w:pStyle w:val="Normal"/>
        <w:ind w:firstLine="539"/>
        <w:jc w:val="center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b/>
          <w:bCs/>
          <w:color w:val="000000"/>
          <w:sz w:val="24"/>
          <w:szCs w:val="24"/>
          <w:lang w:eastAsia="ru-RU"/>
        </w:rPr>
        <w:t>и ответственности за их нарушение</w:t>
      </w:r>
    </w:p>
    <w:p>
      <w:pPr>
        <w:pStyle w:val="Normal"/>
        <w:spacing w:before="220" w:after="0"/>
        <w:ind w:firstLine="54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4.1. Администрация округа, органы муниципального финансового контроля округа в пределах своих полномочий осуществляют обязательные проверки соблюдения условий, целей и порядка предоставления субсидии.</w:t>
      </w:r>
    </w:p>
    <w:p>
      <w:pPr>
        <w:pStyle w:val="Normal"/>
        <w:ind w:firstLine="54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4.2. Субсидия подлежит возврату в местный бюджет округа в случае нарушения получателем субсидии условий, установленных при предоставлении субсидии, выявленного по фактам проверок, предусмотренных пунктом 4.1 настоящего Порядка.</w:t>
      </w:r>
    </w:p>
    <w:p>
      <w:pPr>
        <w:pStyle w:val="Normal"/>
        <w:ind w:firstLine="567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4.3. Администрация округа в течение 30 календарных дней со дня установления фактов, предусмотренных пунктом 4.2 настоящего Порядка, направляет получателю субсидии заказным письмом с уведомлением о вручении требование о возврате в полном объеме полученной субсидии в местный бюджет в течение 30 календарных дней со дня направления соответствующего требования.</w:t>
      </w:r>
    </w:p>
    <w:p>
      <w:pPr>
        <w:pStyle w:val="Normal"/>
        <w:ind w:firstLine="54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4.4. В случае непоступления средств в течение 30 календарных дней со дня направления требования, Администрация округа в срок не более 3 месяцев со дня истечения срока для возврата средств принимает меры к их взысканию в судебном порядке.</w:t>
      </w:r>
    </w:p>
    <w:p>
      <w:pPr>
        <w:pStyle w:val="Normal"/>
        <w:ind w:firstLine="54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4.5. Организации и ИП несут иную предусмотренную действующим законодательством ответственность за нарушение условий предоставления субсидии.</w:t>
      </w:r>
    </w:p>
    <w:p>
      <w:pPr>
        <w:pStyle w:val="Normal"/>
        <w:ind w:firstLine="54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Администрация округа несет предусмотренную действующим законодательством ответственность за нарушение условий предоставления субсидии.</w:t>
      </w:r>
    </w:p>
    <w:p>
      <w:pPr>
        <w:pStyle w:val="Normal"/>
        <w:spacing w:lineRule="atLeast" w:line="253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 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 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 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 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 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 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 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  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Приложение 1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к Порядку предоставления и распределения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субсидии на возмещение части затрат организациям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любых форм собственности и индивидуальным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предпринимателям, занимающимся доставкой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и реализацией продовольственных товаров в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малонаселенные и труднодоступные населенные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 xml:space="preserve">пункты Павинского муниципального округа 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Костромской области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 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 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Форма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 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 </w:t>
      </w:r>
    </w:p>
    <w:p>
      <w:pPr>
        <w:pStyle w:val="Normal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Заявление о предоставлении субсидии на возмещение части затрат на горюче-смазочные материалы, произведенных при доставке и реализации продовольственных товаров в малонаселенные и труднодоступные населенные пункты Павинского муниципального округа Костромской области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 </w:t>
      </w:r>
    </w:p>
    <w:p>
      <w:pPr>
        <w:pStyle w:val="Normal"/>
        <w:ind w:firstLine="689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С целью заключения Соглашения о предоставлении субсидии на возмещение части затрат на горюче-смазочные материалы, произведенных при доставке и реализации продовольственных товаров в малонаселенные и труднодоступные населенные пункты Павинского муниципального округа Костромской области __________________________________________________________________</w:t>
      </w:r>
    </w:p>
    <w:p>
      <w:pPr>
        <w:pStyle w:val="Normal"/>
        <w:ind w:firstLine="567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                                      </w:t>
      </w: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(наименование организации или ИП)</w:t>
      </w:r>
    </w:p>
    <w:p>
      <w:pPr>
        <w:pStyle w:val="Normal"/>
        <w:ind w:firstLine="689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направляет: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1)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  </w:t>
      </w: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выписку из Единого государственного реестра юридических лиц (выписку из Единого государственного реестра индивидуальных предпринимателей);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2)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  </w:t>
      </w: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справку, подтверждающую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3) график и маршруты обслуживания мобильными объектами торговли малонаселенных и труднодоступных населенных пунктов;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4) справку-расчет по форме согласно приложению 2 к настоящему Порядку, подписанную заявителем;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5)  копию паспорта автотранспортного (транспортного) средства, заверенную заявителем;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6) документы, подтверждающие фактически произведенные затраты заявителем на приобретение ГСМ,в том числе цену на ГСМ (счет, счет-фактура, платежное поручение с отметкой банка, товарный чек, кассовый чек);</w:t>
      </w:r>
    </w:p>
    <w:p>
      <w:pPr>
        <w:pStyle w:val="Normal"/>
        <w:ind w:left="709" w:firstLine="567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 </w:t>
      </w:r>
    </w:p>
    <w:p>
      <w:pPr>
        <w:pStyle w:val="Normal"/>
        <w:ind w:firstLine="567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Приложение: на ___ л. в ___ экз.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 </w:t>
      </w:r>
    </w:p>
    <w:p>
      <w:pPr>
        <w:pStyle w:val="Normal"/>
        <w:ind w:firstLine="567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 </w:t>
      </w:r>
    </w:p>
    <w:p>
      <w:pPr>
        <w:pStyle w:val="Normal"/>
        <w:ind w:firstLine="567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________________     ______________________   _____________________</w:t>
      </w:r>
    </w:p>
    <w:p>
      <w:pPr>
        <w:pStyle w:val="Normal"/>
        <w:ind w:firstLine="567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 xml:space="preserve">          </w:t>
      </w: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(должность)                            (подпись)                              (расшифровка подписи)</w:t>
      </w:r>
    </w:p>
    <w:p>
      <w:pPr>
        <w:pStyle w:val="Normal"/>
        <w:ind w:firstLine="567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 </w:t>
      </w:r>
    </w:p>
    <w:p>
      <w:pPr>
        <w:pStyle w:val="Normal"/>
        <w:ind w:firstLine="567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М.П. (при наличии)</w:t>
      </w:r>
    </w:p>
    <w:p>
      <w:pPr>
        <w:pStyle w:val="Normal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Приложение 1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к Порядку предоставления и распределения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субсидии на возмещение части затрат организациям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любых форм собственности и индивидуальным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предпринимателям, занимающимся доставкой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и реализацией продовольственных товаров в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малонаселенные и труднодоступные населенные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 xml:space="preserve">пункты Павинского муниципального округа 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Костромской области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 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 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Форма  </w:t>
      </w:r>
    </w:p>
    <w:p>
      <w:pPr>
        <w:pStyle w:val="Normal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Наименование организации или индивидуального предпринимателя:</w:t>
      </w:r>
    </w:p>
    <w:p>
      <w:pPr>
        <w:pStyle w:val="Normal"/>
        <w:ind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__________________________________________________________</w:t>
      </w:r>
    </w:p>
    <w:p>
      <w:pPr>
        <w:pStyle w:val="Normal"/>
        <w:ind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ИНН/КПП _________________________________________________</w:t>
      </w:r>
    </w:p>
    <w:p>
      <w:pPr>
        <w:pStyle w:val="Normal"/>
        <w:ind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ОГРН/ОГРНИП</w:t>
      </w:r>
    </w:p>
    <w:p>
      <w:pPr>
        <w:pStyle w:val="Normal"/>
        <w:ind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СПРАВКА-РАСЧЕТ</w:t>
      </w:r>
    </w:p>
    <w:p>
      <w:pPr>
        <w:pStyle w:val="Normal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 xml:space="preserve">на представление субсидии на возмещение части затрат за приобретение горюче-смазочных материалов с целью создания условий для обеспечения жителей малонаселенных и труднодоступных населенных пунктов Павинского муниципального округа Костромской области услугами торговли посредством мобильных торговых объектов, осуществляющих доставку и реализацию продовольственных товаров </w:t>
      </w:r>
    </w:p>
    <w:p>
      <w:pPr>
        <w:pStyle w:val="Normal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 xml:space="preserve">за   </w:t>
      </w:r>
      <w:r>
        <w:rPr>
          <w:rFonts w:eastAsia="Times New Roman" w:cs="Arial" w:ascii="Times New Roman" w:hAnsi="Times New Roman"/>
          <w:color w:val="000000"/>
          <w:sz w:val="24"/>
          <w:szCs w:val="24"/>
          <w:u w:val="single"/>
          <w:lang w:eastAsia="ru-RU"/>
        </w:rPr>
        <w:t xml:space="preserve">                      </w:t>
      </w: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 xml:space="preserve"> 202___года</w:t>
      </w:r>
    </w:p>
    <w:p>
      <w:pPr>
        <w:pStyle w:val="Normal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075"/>
        <w:gridCol w:w="1081"/>
        <w:gridCol w:w="2509"/>
        <w:gridCol w:w="1735"/>
        <w:gridCol w:w="1374"/>
        <w:gridCol w:w="1580"/>
      </w:tblGrid>
      <w:tr>
        <w:trPr/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Маршрут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обслуживания маршрутов мобильными торговыми объектами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Стоимость горюче-смазочных материалов за 1 литр (рублей)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Норма расхода ГСМ на 1 км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фактически понесенных затрат (рублей)</w:t>
            </w:r>
          </w:p>
        </w:tc>
      </w:tr>
      <w:tr>
        <w:trPr/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5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5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5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ИТОГО: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5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suppressLineNumbers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         </w:t>
      </w:r>
    </w:p>
    <w:p>
      <w:pPr>
        <w:pStyle w:val="Normal"/>
        <w:rPr>
          <w:rFonts w:ascii="Times New Roman" w:hAnsi="Times New Roman"/>
        </w:rPr>
      </w:pPr>
      <w:bookmarkStart w:id="6" w:name="_GoBack"/>
      <w:bookmarkEnd w:id="6"/>
      <w:r>
        <w:rPr>
          <w:rFonts w:ascii="Times New Roman" w:hAnsi="Times New Roman"/>
        </w:rPr>
        <w:t>Руководитель заявителя:  ______________________И.О.Фамилия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</w:t>
      </w:r>
      <w:r>
        <w:rPr>
          <w:rFonts w:ascii="Times New Roman" w:hAnsi="Times New Roman"/>
        </w:rPr>
        <w:t>(подпись)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>М.П.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</w:t>
      </w:r>
      <w:r>
        <w:rPr>
          <w:rFonts w:ascii="Times New Roman" w:hAnsi="Times New Roman"/>
        </w:rPr>
        <w:t>(при наличии)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>Главный бухгалтер заявителя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>(при наличии)                            _________________И.О.Фамилия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>«___»  _________20__ года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" w:cstheme="minorBidi" w:eastAsiaTheme="minorHAnsi"/>
        <w:sz w:val="24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ind w:firstLine="709"/>
      <w:jc w:val="both"/>
    </w:pPr>
    <w:rPr>
      <w:rFonts w:ascii="Arial" w:hAnsi="Arial" w:eastAsia="Calibri" w:cs="" w:cstheme="minorBidi" w:eastAsiaTheme="minorHAnsi"/>
      <w:color w:val="auto"/>
      <w:kern w:val="0"/>
      <w:sz w:val="24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ayout" w:customStyle="1">
    <w:name w:val="layout"/>
    <w:basedOn w:val="DefaultParagraphFont"/>
    <w:qFormat/>
    <w:rsid w:val="001251c0"/>
    <w:rPr/>
  </w:style>
  <w:style w:type="character" w:styleId="Style14">
    <w:name w:val="Hyperlink"/>
    <w:basedOn w:val="DefaultParagraphFont"/>
    <w:uiPriority w:val="99"/>
    <w:semiHidden/>
    <w:unhideWhenUsed/>
    <w:rsid w:val="001251c0"/>
    <w:rPr>
      <w:color w:val="0000FF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unhideWhenUsed/>
    <w:qFormat/>
    <w:rsid w:val="001251c0"/>
    <w:pP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Title" w:customStyle="1">
    <w:name w:val="title"/>
    <w:basedOn w:val="Normal"/>
    <w:qFormat/>
    <w:rsid w:val="001251c0"/>
    <w:pP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Consplusnormal" w:customStyle="1">
    <w:name w:val="consplusnormal"/>
    <w:basedOn w:val="Normal"/>
    <w:qFormat/>
    <w:rsid w:val="001251c0"/>
    <w:pP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Consplustitle" w:customStyle="1">
    <w:name w:val="consplustitle"/>
    <w:basedOn w:val="Normal"/>
    <w:qFormat/>
    <w:rsid w:val="001251c0"/>
    <w:pP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1" w:customStyle="1">
    <w:name w:val="1"/>
    <w:basedOn w:val="Normal"/>
    <w:qFormat/>
    <w:rsid w:val="001251c0"/>
    <w:pP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Style20">
    <w:name w:val="Body Text Indent"/>
    <w:basedOn w:val="Normal"/>
    <w:pPr>
      <w:spacing w:lineRule="auto" w:line="240" w:before="0" w:after="0"/>
      <w:ind w:left="0" w:right="0" w:firstLine="1134"/>
      <w:jc w:val="both"/>
    </w:pPr>
    <w:rPr>
      <w:rFonts w:ascii="Times New Roman" w:hAnsi="Times New Roman" w:eastAsia="Times New Roman" w:cs="Times New Roman"/>
      <w:sz w:val="28"/>
      <w:szCs w:val="20"/>
    </w:rPr>
  </w:style>
  <w:style w:type="paragraph" w:styleId="Style21">
    <w:name w:val="Title"/>
    <w:basedOn w:val="Normal"/>
    <w:next w:val="Style16"/>
    <w:qFormat/>
    <w:pPr>
      <w:spacing w:lineRule="auto" w:line="240" w:before="0" w:after="0"/>
      <w:jc w:val="center"/>
    </w:pPr>
    <w:rPr>
      <w:rFonts w:ascii="Times New Roman" w:hAnsi="Times New Roman" w:eastAsia="Times New Roman" w:cs="Times New Roman"/>
      <w:b/>
      <w:i/>
      <w:sz w:val="44"/>
      <w:szCs w:val="24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ind w:firstLine="709"/>
      <w:jc w:val="left"/>
    </w:pPr>
    <w:rPr>
      <w:rFonts w:ascii="Calibri" w:hAnsi="Calibri" w:eastAsia="" w:cs="" w:cstheme="minorBidi"/>
      <w:color w:val="auto"/>
      <w:kern w:val="0"/>
      <w:sz w:val="22"/>
      <w:szCs w:val="22"/>
      <w:lang w:val="ru-RU" w:eastAsia="ru-RU" w:bidi="ar-SA"/>
    </w:rPr>
  </w:style>
  <w:style w:type="paragraph" w:styleId="Style22">
    <w:name w:val="Без интервала"/>
    <w:qFormat/>
    <w:pPr>
      <w:widowControl/>
      <w:suppressAutoHyphens w:val="true"/>
      <w:bidi w:val="0"/>
      <w:spacing w:before="0" w:after="0"/>
      <w:ind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Style23">
    <w:name w:val="Содержимое таблицы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Application>LibreOffice/7.4.3.2$Windows_X86_64 LibreOffice_project/1048a8393ae2eeec98dff31b5c133c5f1d08b890</Application>
  <AppVersion>15.0000</AppVersion>
  <Pages>12</Pages>
  <Words>3487</Words>
  <Characters>26260</Characters>
  <CharactersWithSpaces>30080</CharactersWithSpaces>
  <Paragraphs>222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2024-05-13T07:00:00Z</dcterms:created>
  <dc:creator>User</dc:creator>
  <dc:description/>
  <dc:language>ru-RU</dc:language>
  <cp:lastModifiedBy/>
  <dcterms:modified xsi:type="dcterms:W3CDTF">2024-06-20T09:11:17Z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